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หลักเกณฑ์ วิธีการ</w:t>
        <w:br/>
        <w:t xml:space="preserve"> ผู้ใดประสงค์ขอใบอนุญาตประกอบกิจการที่เป็นอันตรายต่อสุขภาพในแต่ละประเภทกิจการ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พร้อมทั้งเอกสารประกอบการขออนุญาตตามข้อกำหนดของเทศบัญญัติเทศบาลเมืองพระประแดง เรื่อง การควบคุมกิจการที่เป็นอันตรายต่อสุขภาพ พ.ศ.2550 ณ กองสาธารณสุขและสิ่งแวดล้อม เทศบาลเมืองพระประแดง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ผู้ประกอบการต้องยื่นเอกสารที่ถูกต้องและครบถ้วน</w:t>
        <w:br/>
        <w:t xml:space="preserve"/>
        <w:br/>
        <w:t xml:space="preserve">  (2) แนบสำเนาใบอนุญาตหรือเอกสารหลักฐานตามกฎหมายอื่นที่เกี่ยวข้อง</w:t>
        <w:br/>
        <w:t xml:space="preserve"/>
        <w:br/>
        <w:t xml:space="preserve"> ตามประเภทกิจการที่ขออนุญาต</w:t>
        <w:br/>
        <w:t xml:space="preserve"/>
        <w:br/>
        <w:t xml:space="preserve"> (3) สภาพสุขลักษณะของสถานประกอบกิจการแต่ละประเภทกิจการ</w:t>
        <w:br/>
        <w:t xml:space="preserve"/>
        <w:br/>
        <w:t xml:space="preserve"> ต้องถูกต้องตามหลักเกณฑ์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ผู้ขอรับใบอนุญาตยื่นคำขอรับใบอนุญาตประกอบกิจการที่เป็นอันตรายต่อสุขภาพ (แต่ละประเภทของกิจการ)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ถึง 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   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</w:t>
              <w:br/>
              <w:t xml:space="preserve">        แจ้งคำสั่งไม่ออกใบอนุญาตประกอบกิจการที่เป็นอันตรายต่อสุขภาพ (ในแต่ละประเภทกิจการ) แก่ผู้ขออนุญาตทราบ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ชำระค่าธรรมเนียม (กรณีมีคำสั่งอนุญาต)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โรงแรม พ.ศ. 2547 พ.ร.บ. การเดินเรือในน่านน้ำไทย พ.ศ. 2546 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(EIA) รายงานการประเมินผลกระทบต่อสุขภาพ 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ผลการตรวจวัดคุณภาพด้านสิ่งแวดล้อม (ในแต่ละประเภทกิจการที่กำหนด)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(กรณียื่นขออนุญาตกิจการที่เกี่ยวข้องกับอาหาร)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อัตราค่าธรรมเนียมใบอนุญาตประกอบกิจการที่เป็นอันตรายต่อสุขภาพ ฉบับละไม่เกิน 10,000 บาทต่อปี และตามข้อกำหนดว่าด้วยค่าธรรมเนียมของเทศบัญญัติเทศบาลเมืองพระประแดง         เรื่อง การควบคุมกิจการที่เป็นอันตรายต่อสุขภาพ พ.ศ.2550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 ( การขอใบอนุญาตประกอบกิจการที่เป็นอันตรายต่อสุขภาพ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เรื่องการควบคุมกิจการที่เป็นอันตรายต่อสุขภาพ พ.ศ.2550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การขออนุญาตประกอบกิจการที่เป็นอันตรายต่อสุขภาพ 21/07/2558 08:57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