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การรับแจ้งการย้ายปลายทาง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 ได้แก่ ผู้ย้ายที่อยู่ หรือผู้ที่ได้รับมอบหมาย</w:t>
        <w:br/>
        <w:t xml:space="preserve"/>
        <w:br/>
        <w:t xml:space="preserve">2. ระยะเวลาการแจ้ง ภายใน 15 วัน นับตั้งแต่เวลาที่ย้ายเข้า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 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(ที่บ้านหลังที่จะย้ายเข้าตั้งอยู่ในเขตพื้นที่ เป็นสำนักทะเบียนปลายทาง)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(ของผู้แจ้ง)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ใบแจ้งการย้ายที่อยู่ ท.ร. 6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สำเนาทะเบีนบ้านฉบับเจ้าบ้าน ท.ร.14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(บ้านที่ประสงค์จะย้ายเข้า)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สำเนาบัตรประจำตัวเจ้าบ้าน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(พร้อมคำยินยอมเป็นหนังสือ กรณีไม่ได้มาแสดงตนต่อนายทะเบียน)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ค่าธรรมเนียม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การรับแจ้งการย้ายปลายทาง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การรับแจ้งการย้ายปลายทาง สำเนาคู่มือประชาชน 21/08/2015 14:33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